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F3" w:rsidRPr="00856D51" w:rsidRDefault="00481913" w:rsidP="003C65E6">
      <w:pPr>
        <w:pStyle w:val="berschrift1"/>
        <w:rPr>
          <w:b/>
          <w:bCs/>
          <w:sz w:val="28"/>
          <w:szCs w:val="28"/>
          <w:u w:val="none"/>
        </w:rPr>
      </w:pPr>
      <w:r w:rsidRPr="003C65E6">
        <w:rPr>
          <w:bCs/>
          <w:sz w:val="28"/>
          <w:szCs w:val="28"/>
        </w:rPr>
        <w:t>Arbeitsblatt</w:t>
      </w:r>
      <w:r w:rsidRPr="00856D51">
        <w:rPr>
          <w:b/>
          <w:bCs/>
          <w:sz w:val="28"/>
          <w:szCs w:val="28"/>
          <w:u w:val="none"/>
        </w:rPr>
        <w:t xml:space="preserve"> </w:t>
      </w:r>
      <w:r w:rsidR="003C65E6">
        <w:rPr>
          <w:b/>
          <w:bCs/>
          <w:sz w:val="28"/>
          <w:szCs w:val="28"/>
          <w:u w:val="none"/>
        </w:rPr>
        <w:t xml:space="preserve">                  </w:t>
      </w:r>
      <w:r w:rsidR="00220ED3" w:rsidRPr="00856D51">
        <w:rPr>
          <w:b/>
          <w:bCs/>
          <w:sz w:val="28"/>
          <w:szCs w:val="28"/>
          <w:u w:val="none"/>
        </w:rPr>
        <w:t xml:space="preserve">Die Lichtgeschwindigkeit nach Ole </w:t>
      </w:r>
      <w:proofErr w:type="spellStart"/>
      <w:r w:rsidR="00220ED3" w:rsidRPr="00856D51">
        <w:rPr>
          <w:b/>
          <w:bCs/>
          <w:sz w:val="28"/>
          <w:szCs w:val="28"/>
          <w:u w:val="none"/>
        </w:rPr>
        <w:t>Rømer</w:t>
      </w:r>
      <w:proofErr w:type="spellEnd"/>
    </w:p>
    <w:p w:rsidR="008F0DF3" w:rsidRPr="00237737" w:rsidRDefault="00220ED3" w:rsidP="00B37304">
      <w:pPr>
        <w:spacing w:before="120"/>
        <w:rPr>
          <w:sz w:val="22"/>
          <w:szCs w:val="22"/>
        </w:rPr>
      </w:pPr>
      <w:r w:rsidRPr="00237737">
        <w:rPr>
          <w:sz w:val="22"/>
          <w:szCs w:val="22"/>
        </w:rPr>
        <w:t>Während die Erde sich dem Planeten Jupiter nähert oder sich von ihm entfernt, ändern sich die Lichtlaufzeiten zw</w:t>
      </w:r>
      <w:r w:rsidRPr="00237737">
        <w:rPr>
          <w:sz w:val="22"/>
          <w:szCs w:val="22"/>
        </w:rPr>
        <w:t>i</w:t>
      </w:r>
      <w:r w:rsidRPr="00237737">
        <w:rPr>
          <w:sz w:val="22"/>
          <w:szCs w:val="22"/>
        </w:rPr>
        <w:t xml:space="preserve">schen den beiden Planeten. Dadurch ergeben sich scheinbar Differenzen in der Umlaufzeit eines Jupitermondes. Dies hatte als erster der Däne </w:t>
      </w:r>
      <w:r w:rsidRPr="00237737">
        <w:rPr>
          <w:i/>
          <w:iCs/>
          <w:sz w:val="22"/>
          <w:szCs w:val="22"/>
        </w:rPr>
        <w:t xml:space="preserve">Ole </w:t>
      </w:r>
      <w:proofErr w:type="spellStart"/>
      <w:r w:rsidRPr="00237737">
        <w:rPr>
          <w:i/>
          <w:iCs/>
          <w:sz w:val="22"/>
          <w:szCs w:val="22"/>
        </w:rPr>
        <w:t>Rømer</w:t>
      </w:r>
      <w:proofErr w:type="spellEnd"/>
      <w:r w:rsidRPr="00237737">
        <w:rPr>
          <w:sz w:val="22"/>
          <w:szCs w:val="22"/>
        </w:rPr>
        <w:t xml:space="preserve"> erkannt. Er wertete um das Jahr 1676 entsprechende Beobachtungsreihen für den innersten </w:t>
      </w:r>
      <w:proofErr w:type="spellStart"/>
      <w:r w:rsidRPr="00237737">
        <w:rPr>
          <w:sz w:val="22"/>
          <w:szCs w:val="22"/>
        </w:rPr>
        <w:t>galileischen</w:t>
      </w:r>
      <w:proofErr w:type="spellEnd"/>
      <w:r w:rsidRPr="00237737">
        <w:rPr>
          <w:sz w:val="22"/>
          <w:szCs w:val="22"/>
        </w:rPr>
        <w:t xml:space="preserve"> Mond </w:t>
      </w:r>
      <w:proofErr w:type="spellStart"/>
      <w:r w:rsidRPr="00237737">
        <w:rPr>
          <w:sz w:val="22"/>
          <w:szCs w:val="22"/>
        </w:rPr>
        <w:t>Io</w:t>
      </w:r>
      <w:proofErr w:type="spellEnd"/>
      <w:r w:rsidRPr="00237737">
        <w:rPr>
          <w:sz w:val="22"/>
          <w:szCs w:val="22"/>
        </w:rPr>
        <w:t xml:space="preserve"> aus und fand, dass  Licht für das Durchlaufen einer Strecke von der Länge des Er</w:t>
      </w:r>
      <w:r w:rsidRPr="00237737">
        <w:rPr>
          <w:sz w:val="22"/>
          <w:szCs w:val="22"/>
        </w:rPr>
        <w:t>d</w:t>
      </w:r>
      <w:r w:rsidRPr="00237737">
        <w:rPr>
          <w:sz w:val="22"/>
          <w:szCs w:val="22"/>
        </w:rPr>
        <w:t xml:space="preserve">bahndurchmessers etwa 22 Minuten benötigt. Das war eine der wichtigsten Entdeckungen in der Physikgeschichte. </w:t>
      </w:r>
      <w:proofErr w:type="spellStart"/>
      <w:r w:rsidRPr="00237737">
        <w:rPr>
          <w:i/>
          <w:iCs/>
          <w:sz w:val="22"/>
          <w:szCs w:val="22"/>
        </w:rPr>
        <w:t>Rømer’</w:t>
      </w:r>
      <w:r w:rsidRPr="00237737">
        <w:rPr>
          <w:sz w:val="22"/>
          <w:szCs w:val="22"/>
        </w:rPr>
        <w:t>s</w:t>
      </w:r>
      <w:proofErr w:type="spellEnd"/>
      <w:r w:rsidRPr="00237737">
        <w:rPr>
          <w:sz w:val="22"/>
          <w:szCs w:val="22"/>
        </w:rPr>
        <w:t xml:space="preserve"> Auffassung konnte sich nur zögerlich gegen die damals herrschende Ansicht einer unendlich schnellen Lich</w:t>
      </w:r>
      <w:r w:rsidRPr="00237737">
        <w:rPr>
          <w:sz w:val="22"/>
          <w:szCs w:val="22"/>
        </w:rPr>
        <w:t>t</w:t>
      </w:r>
      <w:r w:rsidRPr="00237737">
        <w:rPr>
          <w:sz w:val="22"/>
          <w:szCs w:val="22"/>
        </w:rPr>
        <w:t xml:space="preserve">ausbreitung durchsetzen und wurde erst 1728 endgültig bestätigt, als </w:t>
      </w:r>
      <w:r w:rsidRPr="00237737">
        <w:rPr>
          <w:i/>
          <w:iCs/>
          <w:sz w:val="22"/>
          <w:szCs w:val="22"/>
        </w:rPr>
        <w:t>James Bradley</w:t>
      </w:r>
      <w:r w:rsidRPr="00237737">
        <w:rPr>
          <w:sz w:val="22"/>
          <w:szCs w:val="22"/>
        </w:rPr>
        <w:t xml:space="preserve"> die Aberration des Sternenlichtes entdeckte. </w:t>
      </w:r>
    </w:p>
    <w:p w:rsidR="008F0DF3" w:rsidRPr="00237737" w:rsidRDefault="00220ED3" w:rsidP="00B37304">
      <w:pPr>
        <w:rPr>
          <w:sz w:val="22"/>
          <w:szCs w:val="22"/>
        </w:rPr>
      </w:pPr>
      <w:r w:rsidRPr="00237737">
        <w:rPr>
          <w:b/>
          <w:bCs/>
          <w:sz w:val="22"/>
          <w:szCs w:val="22"/>
        </w:rPr>
        <w:t xml:space="preserve">Informieren Sie sich über das </w:t>
      </w:r>
      <w:proofErr w:type="spellStart"/>
      <w:r w:rsidRPr="00237737">
        <w:rPr>
          <w:b/>
          <w:bCs/>
          <w:sz w:val="22"/>
          <w:szCs w:val="22"/>
        </w:rPr>
        <w:t>Rømer’sche</w:t>
      </w:r>
      <w:proofErr w:type="spellEnd"/>
      <w:r w:rsidRPr="00237737">
        <w:rPr>
          <w:b/>
          <w:bCs/>
          <w:sz w:val="22"/>
          <w:szCs w:val="22"/>
        </w:rPr>
        <w:t xml:space="preserve"> </w:t>
      </w:r>
      <w:proofErr w:type="gramStart"/>
      <w:r w:rsidRPr="00237737">
        <w:rPr>
          <w:b/>
          <w:bCs/>
          <w:sz w:val="22"/>
          <w:szCs w:val="22"/>
        </w:rPr>
        <w:t>Verfahren !</w:t>
      </w:r>
      <w:proofErr w:type="gramEnd"/>
      <w:r w:rsidRPr="00237737">
        <w:rPr>
          <w:b/>
          <w:bCs/>
          <w:sz w:val="22"/>
          <w:szCs w:val="22"/>
        </w:rPr>
        <w:t xml:space="preserve"> </w:t>
      </w:r>
    </w:p>
    <w:p w:rsidR="008F0DF3" w:rsidRPr="00237737" w:rsidRDefault="00220ED3" w:rsidP="00BF6584">
      <w:pPr>
        <w:spacing w:before="120"/>
        <w:rPr>
          <w:sz w:val="22"/>
          <w:szCs w:val="22"/>
        </w:rPr>
      </w:pPr>
      <w:r w:rsidRPr="00237737">
        <w:rPr>
          <w:sz w:val="22"/>
          <w:szCs w:val="22"/>
        </w:rPr>
        <w:t xml:space="preserve">Die Zeitpunkte der beobachtbaren Verfinsterungen der </w:t>
      </w:r>
      <w:proofErr w:type="spellStart"/>
      <w:r w:rsidRPr="00237737">
        <w:rPr>
          <w:sz w:val="22"/>
          <w:szCs w:val="22"/>
        </w:rPr>
        <w:t>galileischen</w:t>
      </w:r>
      <w:proofErr w:type="spellEnd"/>
      <w:r w:rsidRPr="00237737">
        <w:rPr>
          <w:sz w:val="22"/>
          <w:szCs w:val="22"/>
        </w:rPr>
        <w:t xml:space="preserve"> Monde und die geozentrischen Entfernungen Jup</w:t>
      </w:r>
      <w:r w:rsidRPr="00237737">
        <w:rPr>
          <w:sz w:val="22"/>
          <w:szCs w:val="22"/>
        </w:rPr>
        <w:t>i</w:t>
      </w:r>
      <w:r w:rsidRPr="00237737">
        <w:rPr>
          <w:sz w:val="22"/>
          <w:szCs w:val="22"/>
        </w:rPr>
        <w:t xml:space="preserve">ters sind in den Himmelsjahrbüchern (z. B. </w:t>
      </w:r>
      <w:r w:rsidRPr="00237737">
        <w:rPr>
          <w:i/>
          <w:iCs/>
          <w:sz w:val="22"/>
          <w:szCs w:val="22"/>
        </w:rPr>
        <w:t>Kosmos Himmelsjahr</w:t>
      </w:r>
      <w:r w:rsidRPr="00237737">
        <w:rPr>
          <w:sz w:val="22"/>
          <w:szCs w:val="22"/>
        </w:rPr>
        <w:t xml:space="preserve"> oder </w:t>
      </w:r>
      <w:proofErr w:type="spellStart"/>
      <w:r w:rsidRPr="00237737">
        <w:rPr>
          <w:i/>
          <w:iCs/>
          <w:sz w:val="22"/>
          <w:szCs w:val="22"/>
        </w:rPr>
        <w:t>Ahnert’s</w:t>
      </w:r>
      <w:proofErr w:type="spellEnd"/>
      <w:r w:rsidRPr="00237737">
        <w:rPr>
          <w:i/>
          <w:iCs/>
          <w:sz w:val="22"/>
          <w:szCs w:val="22"/>
        </w:rPr>
        <w:t xml:space="preserve"> Astronomisches Jahrbuch</w:t>
      </w:r>
      <w:r w:rsidRPr="00237737">
        <w:rPr>
          <w:sz w:val="22"/>
          <w:szCs w:val="22"/>
        </w:rPr>
        <w:t>) tabelliert; da</w:t>
      </w:r>
      <w:r w:rsidR="00BF6584" w:rsidRPr="00237737">
        <w:rPr>
          <w:sz w:val="22"/>
          <w:szCs w:val="22"/>
        </w:rPr>
        <w:t>mit</w:t>
      </w:r>
      <w:r w:rsidRPr="00237737">
        <w:rPr>
          <w:sz w:val="22"/>
          <w:szCs w:val="22"/>
        </w:rPr>
        <w:t xml:space="preserve"> können wir die </w:t>
      </w:r>
      <w:proofErr w:type="spellStart"/>
      <w:r w:rsidRPr="00237737">
        <w:rPr>
          <w:i/>
          <w:iCs/>
          <w:sz w:val="22"/>
          <w:szCs w:val="22"/>
        </w:rPr>
        <w:t>Rømer’</w:t>
      </w:r>
      <w:r w:rsidRPr="00237737">
        <w:rPr>
          <w:sz w:val="22"/>
          <w:szCs w:val="22"/>
        </w:rPr>
        <w:t>sche</w:t>
      </w:r>
      <w:proofErr w:type="spellEnd"/>
      <w:r w:rsidRPr="00237737">
        <w:rPr>
          <w:sz w:val="22"/>
          <w:szCs w:val="22"/>
        </w:rPr>
        <w:t xml:space="preserve"> Entdeckung bequem nachvollziehen. In der folgenden Tabelle sind die nötigen D</w:t>
      </w:r>
      <w:r w:rsidRPr="00237737">
        <w:rPr>
          <w:sz w:val="22"/>
          <w:szCs w:val="22"/>
        </w:rPr>
        <w:t>a</w:t>
      </w:r>
      <w:r w:rsidRPr="00237737">
        <w:rPr>
          <w:sz w:val="22"/>
          <w:szCs w:val="22"/>
        </w:rPr>
        <w:t xml:space="preserve">ten aus dem </w:t>
      </w:r>
      <w:r w:rsidR="003C65E6">
        <w:rPr>
          <w:sz w:val="22"/>
          <w:szCs w:val="22"/>
        </w:rPr>
        <w:t>Ahnert-</w:t>
      </w:r>
      <w:r w:rsidRPr="00237737">
        <w:rPr>
          <w:sz w:val="22"/>
          <w:szCs w:val="22"/>
        </w:rPr>
        <w:t xml:space="preserve">Jahrbuch </w:t>
      </w:r>
      <w:r w:rsidR="003C65E6">
        <w:rPr>
          <w:sz w:val="22"/>
          <w:szCs w:val="22"/>
        </w:rPr>
        <w:t xml:space="preserve">1992 </w:t>
      </w:r>
      <w:r w:rsidRPr="00237737">
        <w:rPr>
          <w:sz w:val="22"/>
          <w:szCs w:val="22"/>
        </w:rPr>
        <w:t xml:space="preserve">eingetragen: </w:t>
      </w:r>
    </w:p>
    <w:p w:rsidR="00B62768" w:rsidRDefault="00B62768" w:rsidP="00B37304">
      <w:pPr>
        <w:rPr>
          <w:sz w:val="22"/>
        </w:rPr>
      </w:pPr>
    </w:p>
    <w:p w:rsidR="006949D2" w:rsidRDefault="00265C56" w:rsidP="00C23AED">
      <w:pPr>
        <w:jc w:val="center"/>
        <w:rPr>
          <w:sz w:val="22"/>
        </w:rPr>
      </w:pPr>
      <w:r>
        <w:rPr>
          <w:sz w:val="22"/>
        </w:rPr>
        <w:object w:dxaOrig="9234" w:dyaOrig="5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207.25pt" o:ole="">
            <v:imagedata r:id="rId9" o:title=""/>
          </v:shape>
          <o:OLEObject Type="Embed" ProgID="Excel.Sheet.12" ShapeID="_x0000_i1025" DrawAspect="Content" ObjectID="_1386098413" r:id="rId10"/>
        </w:object>
      </w:r>
    </w:p>
    <w:p w:rsidR="00265C56" w:rsidRDefault="00265C56" w:rsidP="003C65E6">
      <w:pPr>
        <w:tabs>
          <w:tab w:val="left" w:pos="2160"/>
        </w:tabs>
        <w:rPr>
          <w:sz w:val="22"/>
          <w:szCs w:val="22"/>
        </w:rPr>
      </w:pPr>
    </w:p>
    <w:p w:rsidR="008F0DF3" w:rsidRPr="00237737" w:rsidRDefault="00220ED3" w:rsidP="003C65E6">
      <w:pPr>
        <w:tabs>
          <w:tab w:val="left" w:pos="2160"/>
        </w:tabs>
        <w:rPr>
          <w:sz w:val="22"/>
          <w:szCs w:val="22"/>
        </w:rPr>
      </w:pPr>
      <w:r w:rsidRPr="00237737">
        <w:rPr>
          <w:sz w:val="22"/>
          <w:szCs w:val="22"/>
        </w:rPr>
        <w:t xml:space="preserve">Legen Sie sich eine </w:t>
      </w:r>
      <w:r w:rsidR="00B37304" w:rsidRPr="00237737">
        <w:rPr>
          <w:sz w:val="22"/>
          <w:szCs w:val="22"/>
        </w:rPr>
        <w:t>Excel-Tabelle nach dem gegebenen</w:t>
      </w:r>
      <w:r w:rsidRPr="00237737">
        <w:rPr>
          <w:sz w:val="22"/>
          <w:szCs w:val="22"/>
        </w:rPr>
        <w:t xml:space="preserve"> Muster an. Bevor Sie die Zeitpunkte der Verfinsterungsenden </w:t>
      </w:r>
      <w:r w:rsidR="00481913" w:rsidRPr="00237737">
        <w:rPr>
          <w:sz w:val="22"/>
          <w:szCs w:val="22"/>
        </w:rPr>
        <w:t xml:space="preserve">(VE) </w:t>
      </w:r>
      <w:r w:rsidRPr="00237737">
        <w:rPr>
          <w:sz w:val="22"/>
          <w:szCs w:val="22"/>
        </w:rPr>
        <w:t>in Ihre Tabelle übertragen, müssen Sie die Spalte B geeignet formatieren (</w:t>
      </w:r>
      <w:r w:rsidRPr="00237737">
        <w:rPr>
          <w:i/>
          <w:iCs/>
          <w:sz w:val="22"/>
          <w:szCs w:val="22"/>
        </w:rPr>
        <w:t>Format – Zellen – Zahlen – Datum</w:t>
      </w:r>
      <w:r w:rsidRPr="00237737">
        <w:rPr>
          <w:sz w:val="22"/>
          <w:szCs w:val="22"/>
        </w:rPr>
        <w:t xml:space="preserve">). Spalte </w:t>
      </w:r>
      <w:r w:rsidR="003C65E6">
        <w:rPr>
          <w:sz w:val="22"/>
          <w:szCs w:val="22"/>
        </w:rPr>
        <w:t>G</w:t>
      </w:r>
      <w:r w:rsidRPr="00237737">
        <w:rPr>
          <w:sz w:val="22"/>
          <w:szCs w:val="22"/>
        </w:rPr>
        <w:t xml:space="preserve"> enthält die Entfernungen </w:t>
      </w:r>
      <w:r w:rsidR="00481913" w:rsidRPr="00237737">
        <w:rPr>
          <w:sz w:val="22"/>
          <w:szCs w:val="22"/>
        </w:rPr>
        <w:t xml:space="preserve">Δ zwischen </w:t>
      </w:r>
      <w:r w:rsidRPr="00237737">
        <w:rPr>
          <w:sz w:val="22"/>
          <w:szCs w:val="22"/>
        </w:rPr>
        <w:t>Erde</w:t>
      </w:r>
      <w:r w:rsidR="00481913" w:rsidRPr="00237737">
        <w:rPr>
          <w:sz w:val="22"/>
          <w:szCs w:val="22"/>
        </w:rPr>
        <w:t xml:space="preserve"> und</w:t>
      </w:r>
      <w:r w:rsidR="005273E3" w:rsidRPr="00237737">
        <w:rPr>
          <w:sz w:val="22"/>
          <w:szCs w:val="22"/>
        </w:rPr>
        <w:t xml:space="preserve"> </w:t>
      </w:r>
      <w:r w:rsidR="00481913" w:rsidRPr="00237737">
        <w:rPr>
          <w:sz w:val="22"/>
          <w:szCs w:val="22"/>
        </w:rPr>
        <w:t xml:space="preserve">Jupiter. In Zelle </w:t>
      </w:r>
      <w:r w:rsidR="005273E3" w:rsidRPr="00237737">
        <w:rPr>
          <w:sz w:val="22"/>
          <w:szCs w:val="22"/>
        </w:rPr>
        <w:t>D6</w:t>
      </w:r>
      <w:r w:rsidRPr="00237737">
        <w:rPr>
          <w:sz w:val="22"/>
          <w:szCs w:val="22"/>
        </w:rPr>
        <w:t xml:space="preserve"> wird die Differenz der Zeitpunkte zw</w:t>
      </w:r>
      <w:r w:rsidRPr="00237737">
        <w:rPr>
          <w:sz w:val="22"/>
          <w:szCs w:val="22"/>
        </w:rPr>
        <w:t>i</w:t>
      </w:r>
      <w:r w:rsidRPr="00237737">
        <w:rPr>
          <w:sz w:val="22"/>
          <w:szCs w:val="22"/>
        </w:rPr>
        <w:t xml:space="preserve">schen dem nullten und ersten Verfinsterungsende </w:t>
      </w:r>
      <w:r w:rsidR="00481913" w:rsidRPr="00237737">
        <w:rPr>
          <w:sz w:val="22"/>
          <w:szCs w:val="22"/>
        </w:rPr>
        <w:t>berechnet</w:t>
      </w:r>
      <w:r w:rsidR="00BF6584" w:rsidRPr="00237737">
        <w:rPr>
          <w:sz w:val="22"/>
          <w:szCs w:val="22"/>
        </w:rPr>
        <w:t xml:space="preserve"> (in min)</w:t>
      </w:r>
      <w:r w:rsidRPr="00237737">
        <w:rPr>
          <w:sz w:val="22"/>
          <w:szCs w:val="22"/>
        </w:rPr>
        <w:t>:</w:t>
      </w:r>
      <w:r w:rsidR="00BF6584" w:rsidRPr="00237737">
        <w:rPr>
          <w:sz w:val="22"/>
          <w:szCs w:val="22"/>
        </w:rPr>
        <w:t xml:space="preserve"> </w:t>
      </w:r>
      <w:r w:rsidR="006A28AD" w:rsidRPr="00237737">
        <w:rPr>
          <w:sz w:val="22"/>
          <w:szCs w:val="22"/>
          <w:highlight w:val="lightGray"/>
        </w:rPr>
        <w:t>= (</w:t>
      </w:r>
      <w:r w:rsidR="003C65E6">
        <w:rPr>
          <w:sz w:val="22"/>
          <w:szCs w:val="22"/>
          <w:highlight w:val="lightGray"/>
        </w:rPr>
        <w:t>B</w:t>
      </w:r>
      <w:r w:rsidR="005273E3" w:rsidRPr="00237737">
        <w:rPr>
          <w:sz w:val="22"/>
          <w:szCs w:val="22"/>
          <w:highlight w:val="lightGray"/>
        </w:rPr>
        <w:t>6</w:t>
      </w:r>
      <w:r w:rsidRPr="00237737">
        <w:rPr>
          <w:sz w:val="22"/>
          <w:szCs w:val="22"/>
          <w:highlight w:val="lightGray"/>
        </w:rPr>
        <w:t>‒</w:t>
      </w:r>
      <w:r w:rsidR="006A28AD" w:rsidRPr="00237737">
        <w:rPr>
          <w:sz w:val="22"/>
          <w:szCs w:val="22"/>
          <w:highlight w:val="lightGray"/>
        </w:rPr>
        <w:t>$</w:t>
      </w:r>
      <w:r w:rsidR="003C65E6">
        <w:rPr>
          <w:sz w:val="22"/>
          <w:szCs w:val="22"/>
          <w:highlight w:val="lightGray"/>
        </w:rPr>
        <w:t>B</w:t>
      </w:r>
      <w:r w:rsidR="006A28AD" w:rsidRPr="00237737">
        <w:rPr>
          <w:sz w:val="22"/>
          <w:szCs w:val="22"/>
          <w:highlight w:val="lightGray"/>
        </w:rPr>
        <w:t>$</w:t>
      </w:r>
      <w:r w:rsidR="005273E3" w:rsidRPr="00237737">
        <w:rPr>
          <w:sz w:val="22"/>
          <w:szCs w:val="22"/>
          <w:highlight w:val="lightGray"/>
        </w:rPr>
        <w:t>5</w:t>
      </w:r>
      <w:r w:rsidR="006A28AD" w:rsidRPr="00237737">
        <w:rPr>
          <w:sz w:val="22"/>
          <w:szCs w:val="22"/>
          <w:highlight w:val="lightGray"/>
        </w:rPr>
        <w:t>)*24*60</w:t>
      </w:r>
      <w:r w:rsidRPr="00237737">
        <w:rPr>
          <w:sz w:val="22"/>
          <w:szCs w:val="22"/>
        </w:rPr>
        <w:t xml:space="preserve">; durch Kopieren wird dann die ganze Spalte </w:t>
      </w:r>
      <w:r w:rsidR="005273E3" w:rsidRPr="00237737">
        <w:rPr>
          <w:sz w:val="22"/>
          <w:szCs w:val="22"/>
        </w:rPr>
        <w:t>D</w:t>
      </w:r>
      <w:r w:rsidRPr="00237737">
        <w:rPr>
          <w:sz w:val="22"/>
          <w:szCs w:val="22"/>
        </w:rPr>
        <w:t xml:space="preserve"> ausgefüllt. </w:t>
      </w:r>
      <w:r w:rsidR="00481913" w:rsidRPr="00237737">
        <w:rPr>
          <w:sz w:val="22"/>
          <w:szCs w:val="22"/>
        </w:rPr>
        <w:t xml:space="preserve">In Spalte </w:t>
      </w:r>
      <w:r w:rsidR="005273E3" w:rsidRPr="00237737">
        <w:rPr>
          <w:sz w:val="22"/>
          <w:szCs w:val="22"/>
        </w:rPr>
        <w:t>E</w:t>
      </w:r>
      <w:r w:rsidR="00481913" w:rsidRPr="00237737">
        <w:rPr>
          <w:sz w:val="22"/>
          <w:szCs w:val="22"/>
        </w:rPr>
        <w:t xml:space="preserve"> stehen die </w:t>
      </w:r>
      <w:proofErr w:type="gramStart"/>
      <w:r w:rsidR="00481913" w:rsidRPr="00237737">
        <w:rPr>
          <w:sz w:val="22"/>
          <w:szCs w:val="22"/>
        </w:rPr>
        <w:t xml:space="preserve">Zeiten </w:t>
      </w:r>
      <w:proofErr w:type="gramEnd"/>
      <m:oMath>
        <m:r>
          <w:rPr>
            <w:rFonts w:ascii="Cambria Math" w:hAnsi="Cambria Math"/>
            <w:sz w:val="22"/>
            <w:szCs w:val="22"/>
          </w:rPr>
          <m:t>k∙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Io</m:t>
            </m:r>
          </m:sub>
        </m:sSub>
      </m:oMath>
      <w:r w:rsidR="00481913" w:rsidRPr="00237737">
        <w:rPr>
          <w:sz w:val="22"/>
          <w:szCs w:val="22"/>
        </w:rPr>
        <w:t xml:space="preserve">, die bis zum </w:t>
      </w:r>
      <w:r w:rsidR="00481913" w:rsidRPr="00237737">
        <w:rPr>
          <w:i/>
          <w:iCs/>
          <w:sz w:val="22"/>
          <w:szCs w:val="22"/>
        </w:rPr>
        <w:t>k</w:t>
      </w:r>
      <w:r w:rsidR="00481913" w:rsidRPr="00237737">
        <w:rPr>
          <w:sz w:val="22"/>
          <w:szCs w:val="22"/>
        </w:rPr>
        <w:t>-</w:t>
      </w:r>
      <w:proofErr w:type="spellStart"/>
      <w:r w:rsidR="00481913" w:rsidRPr="00237737">
        <w:rPr>
          <w:sz w:val="22"/>
          <w:szCs w:val="22"/>
        </w:rPr>
        <w:t>ten</w:t>
      </w:r>
      <w:proofErr w:type="spellEnd"/>
      <w:r w:rsidR="00481913" w:rsidRPr="00237737">
        <w:rPr>
          <w:sz w:val="22"/>
          <w:szCs w:val="22"/>
        </w:rPr>
        <w:t xml:space="preserve"> VE verstreichen würden, wenn der Abstand Erde ‒ Jupiter gleich bliebe und sich sonst keine Bedingungen veränderten. </w:t>
      </w:r>
      <w:r w:rsidR="00BF6584" w:rsidRPr="00237737">
        <w:rPr>
          <w:sz w:val="22"/>
          <w:szCs w:val="22"/>
        </w:rPr>
        <w:t xml:space="preserve">In </w:t>
      </w:r>
      <w:r w:rsidR="00481913" w:rsidRPr="00237737">
        <w:rPr>
          <w:sz w:val="22"/>
          <w:szCs w:val="22"/>
        </w:rPr>
        <w:t xml:space="preserve">Spalte </w:t>
      </w:r>
      <w:r w:rsidR="005273E3" w:rsidRPr="00237737">
        <w:rPr>
          <w:sz w:val="22"/>
          <w:szCs w:val="22"/>
        </w:rPr>
        <w:t>F</w:t>
      </w:r>
      <w:r w:rsidR="00481913" w:rsidRPr="00237737">
        <w:rPr>
          <w:sz w:val="22"/>
          <w:szCs w:val="22"/>
        </w:rPr>
        <w:t xml:space="preserve"> </w:t>
      </w:r>
      <w:r w:rsidR="00BF6584" w:rsidRPr="00237737">
        <w:rPr>
          <w:sz w:val="22"/>
          <w:szCs w:val="22"/>
        </w:rPr>
        <w:t>werden</w:t>
      </w:r>
      <w:r w:rsidR="00481913" w:rsidRPr="00237737">
        <w:rPr>
          <w:sz w:val="22"/>
          <w:szCs w:val="22"/>
        </w:rPr>
        <w:t xml:space="preserve"> die Lich</w:t>
      </w:r>
      <w:r w:rsidR="00481913" w:rsidRPr="00237737">
        <w:rPr>
          <w:sz w:val="22"/>
          <w:szCs w:val="22"/>
        </w:rPr>
        <w:t>t</w:t>
      </w:r>
      <w:r w:rsidR="003C65E6">
        <w:rPr>
          <w:sz w:val="22"/>
          <w:szCs w:val="22"/>
        </w:rPr>
        <w:t>laufz</w:t>
      </w:r>
      <w:r w:rsidR="00481913" w:rsidRPr="00237737">
        <w:rPr>
          <w:sz w:val="22"/>
          <w:szCs w:val="22"/>
        </w:rPr>
        <w:t xml:space="preserve">eiten </w:t>
      </w:r>
      <w:proofErr w:type="spellStart"/>
      <w:r w:rsidR="00481913" w:rsidRPr="00237737">
        <w:rPr>
          <w:i/>
          <w:iCs/>
          <w:sz w:val="22"/>
          <w:szCs w:val="22"/>
        </w:rPr>
        <w:t>t</w:t>
      </w:r>
      <w:r w:rsidR="00481913" w:rsidRPr="00237737">
        <w:rPr>
          <w:i/>
          <w:iCs/>
          <w:sz w:val="22"/>
          <w:szCs w:val="22"/>
          <w:vertAlign w:val="subscript"/>
        </w:rPr>
        <w:t>L</w:t>
      </w:r>
      <w:proofErr w:type="spellEnd"/>
      <w:r w:rsidR="00481913" w:rsidRPr="00237737">
        <w:rPr>
          <w:sz w:val="22"/>
          <w:szCs w:val="22"/>
        </w:rPr>
        <w:t>(</w:t>
      </w:r>
      <w:r w:rsidR="00481913" w:rsidRPr="00237737">
        <w:rPr>
          <w:i/>
          <w:iCs/>
          <w:sz w:val="22"/>
          <w:szCs w:val="22"/>
        </w:rPr>
        <w:t>k</w:t>
      </w:r>
      <w:r w:rsidR="00481913" w:rsidRPr="00237737">
        <w:rPr>
          <w:sz w:val="22"/>
          <w:szCs w:val="22"/>
        </w:rPr>
        <w:t>) für die Strecken Δ(</w:t>
      </w:r>
      <w:r w:rsidR="00481913" w:rsidRPr="00237737">
        <w:rPr>
          <w:i/>
          <w:iCs/>
          <w:sz w:val="22"/>
          <w:szCs w:val="22"/>
        </w:rPr>
        <w:t>k</w:t>
      </w:r>
      <w:r w:rsidR="00481913" w:rsidRPr="00237737">
        <w:rPr>
          <w:sz w:val="22"/>
          <w:szCs w:val="22"/>
        </w:rPr>
        <w:t>) – Δ(0)</w:t>
      </w:r>
      <w:r w:rsidR="00BF6584" w:rsidRPr="00237737">
        <w:rPr>
          <w:sz w:val="22"/>
          <w:szCs w:val="22"/>
        </w:rPr>
        <w:t xml:space="preserve"> eingetragen, die Formel müssen Sie sich überlegen; daraufhin ist es ein Leichtes, die entsprechenden Werte </w:t>
      </w:r>
      <w:r w:rsidR="00BF6584" w:rsidRPr="00237737">
        <w:rPr>
          <w:i/>
          <w:sz w:val="22"/>
          <w:szCs w:val="22"/>
        </w:rPr>
        <w:t>c</w:t>
      </w:r>
      <w:r w:rsidR="00BF6584" w:rsidRPr="00237737">
        <w:rPr>
          <w:sz w:val="22"/>
          <w:szCs w:val="22"/>
        </w:rPr>
        <w:t>(</w:t>
      </w:r>
      <w:r w:rsidR="00BF6584" w:rsidRPr="00237737">
        <w:rPr>
          <w:i/>
          <w:sz w:val="22"/>
          <w:szCs w:val="22"/>
        </w:rPr>
        <w:t>k</w:t>
      </w:r>
      <w:r w:rsidR="00BF6584" w:rsidRPr="00237737">
        <w:rPr>
          <w:sz w:val="22"/>
          <w:szCs w:val="22"/>
        </w:rPr>
        <w:t xml:space="preserve">) </w:t>
      </w:r>
      <w:r w:rsidR="003C65E6">
        <w:rPr>
          <w:sz w:val="22"/>
          <w:szCs w:val="22"/>
        </w:rPr>
        <w:t xml:space="preserve">der Lichtgeschwindigkeit </w:t>
      </w:r>
      <w:r w:rsidR="00BF6584" w:rsidRPr="00237737">
        <w:rPr>
          <w:sz w:val="22"/>
          <w:szCs w:val="22"/>
        </w:rPr>
        <w:t>in die Spalten H und I zu bringen</w:t>
      </w:r>
      <w:r w:rsidR="00FB43F6">
        <w:rPr>
          <w:sz w:val="22"/>
          <w:szCs w:val="22"/>
        </w:rPr>
        <w:t xml:space="preserve"> (ab der 4. Ve</w:t>
      </w:r>
      <w:r w:rsidR="00FB43F6">
        <w:rPr>
          <w:sz w:val="22"/>
          <w:szCs w:val="22"/>
        </w:rPr>
        <w:t>r</w:t>
      </w:r>
      <w:r w:rsidR="00FB43F6">
        <w:rPr>
          <w:sz w:val="22"/>
          <w:szCs w:val="22"/>
        </w:rPr>
        <w:t>finsterung)</w:t>
      </w:r>
      <w:r w:rsidR="00ED0BEC">
        <w:rPr>
          <w:sz w:val="22"/>
          <w:szCs w:val="22"/>
        </w:rPr>
        <w:t>.</w:t>
      </w:r>
      <w:r w:rsidR="00975F18" w:rsidRPr="00237737">
        <w:rPr>
          <w:sz w:val="22"/>
          <w:szCs w:val="22"/>
        </w:rPr>
        <w:t xml:space="preserve"> </w:t>
      </w:r>
      <w:r w:rsidR="00ED0BEC">
        <w:rPr>
          <w:sz w:val="22"/>
          <w:szCs w:val="22"/>
        </w:rPr>
        <w:t>L</w:t>
      </w:r>
      <w:r w:rsidR="00827B6F" w:rsidRPr="00237737">
        <w:rPr>
          <w:sz w:val="22"/>
          <w:szCs w:val="22"/>
        </w:rPr>
        <w:t>eichte Schwankungen i</w:t>
      </w:r>
      <w:bookmarkStart w:id="0" w:name="_GoBack"/>
      <w:bookmarkEnd w:id="0"/>
      <w:r w:rsidR="00827B6F" w:rsidRPr="00237737">
        <w:rPr>
          <w:sz w:val="22"/>
          <w:szCs w:val="22"/>
        </w:rPr>
        <w:t xml:space="preserve">n der synodischen Umlaufperiode </w:t>
      </w:r>
      <w:proofErr w:type="spellStart"/>
      <w:r w:rsidR="00827B6F" w:rsidRPr="00237737">
        <w:rPr>
          <w:sz w:val="22"/>
          <w:szCs w:val="22"/>
        </w:rPr>
        <w:t>Io’s</w:t>
      </w:r>
      <w:proofErr w:type="spellEnd"/>
      <w:r w:rsidR="00827B6F" w:rsidRPr="00237737">
        <w:rPr>
          <w:sz w:val="22"/>
          <w:szCs w:val="22"/>
        </w:rPr>
        <w:t xml:space="preserve"> </w:t>
      </w:r>
      <w:r w:rsidR="003C65E6">
        <w:rPr>
          <w:sz w:val="22"/>
          <w:szCs w:val="22"/>
        </w:rPr>
        <w:t xml:space="preserve">– streng genommen gilt der angegebene </w:t>
      </w:r>
      <w:proofErr w:type="spellStart"/>
      <w:r w:rsidR="003C65E6" w:rsidRPr="00237737">
        <w:rPr>
          <w:i/>
          <w:iCs/>
          <w:sz w:val="22"/>
          <w:szCs w:val="22"/>
        </w:rPr>
        <w:t>P</w:t>
      </w:r>
      <w:r w:rsidR="003C65E6" w:rsidRPr="00237737">
        <w:rPr>
          <w:i/>
          <w:sz w:val="22"/>
          <w:szCs w:val="22"/>
          <w:vertAlign w:val="subscript"/>
        </w:rPr>
        <w:t>Io</w:t>
      </w:r>
      <w:proofErr w:type="spellEnd"/>
      <w:r w:rsidR="003C65E6" w:rsidRPr="00237737">
        <w:rPr>
          <w:sz w:val="22"/>
          <w:szCs w:val="22"/>
          <w:vertAlign w:val="subscript"/>
        </w:rPr>
        <w:t xml:space="preserve"> </w:t>
      </w:r>
      <w:r w:rsidR="003C65E6">
        <w:rPr>
          <w:sz w:val="22"/>
          <w:szCs w:val="22"/>
        </w:rPr>
        <w:t>-Wert nur zum Zeitpunkt der Jupiteropposition –</w:t>
      </w:r>
      <w:r w:rsidR="003C65E6" w:rsidRPr="00237737">
        <w:rPr>
          <w:sz w:val="22"/>
          <w:szCs w:val="22"/>
        </w:rPr>
        <w:t xml:space="preserve"> </w:t>
      </w:r>
      <w:r w:rsidR="00827B6F" w:rsidRPr="00237737">
        <w:rPr>
          <w:sz w:val="22"/>
          <w:szCs w:val="22"/>
        </w:rPr>
        <w:t xml:space="preserve">und andere </w:t>
      </w:r>
      <w:r w:rsidR="00975F18" w:rsidRPr="00237737">
        <w:rPr>
          <w:sz w:val="22"/>
          <w:szCs w:val="22"/>
        </w:rPr>
        <w:t xml:space="preserve">Einflüsse </w:t>
      </w:r>
      <w:r w:rsidR="00B37304" w:rsidRPr="00237737">
        <w:rPr>
          <w:sz w:val="22"/>
          <w:szCs w:val="22"/>
        </w:rPr>
        <w:t>brin</w:t>
      </w:r>
      <w:r w:rsidR="00827B6F" w:rsidRPr="00237737">
        <w:rPr>
          <w:sz w:val="22"/>
          <w:szCs w:val="22"/>
        </w:rPr>
        <w:t>gen</w:t>
      </w:r>
      <w:r w:rsidR="00B37304" w:rsidRPr="00237737">
        <w:rPr>
          <w:sz w:val="22"/>
          <w:szCs w:val="22"/>
        </w:rPr>
        <w:t xml:space="preserve"> es mit sich, dass </w:t>
      </w:r>
      <w:r w:rsidR="00827B6F" w:rsidRPr="00237737">
        <w:rPr>
          <w:sz w:val="22"/>
          <w:szCs w:val="22"/>
        </w:rPr>
        <w:t xml:space="preserve">die Werte für </w:t>
      </w:r>
      <w:r w:rsidR="00827B6F" w:rsidRPr="00237737">
        <w:rPr>
          <w:i/>
          <w:sz w:val="22"/>
          <w:szCs w:val="22"/>
        </w:rPr>
        <w:t>c</w:t>
      </w:r>
      <w:r w:rsidR="00ED0BEC" w:rsidRPr="00237737">
        <w:rPr>
          <w:sz w:val="22"/>
          <w:szCs w:val="22"/>
        </w:rPr>
        <w:t xml:space="preserve"> unte</w:t>
      </w:r>
      <w:r w:rsidR="00ED0BEC" w:rsidRPr="00237737">
        <w:rPr>
          <w:sz w:val="22"/>
          <w:szCs w:val="22"/>
        </w:rPr>
        <w:t>r</w:t>
      </w:r>
      <w:r w:rsidR="00ED0BEC" w:rsidRPr="00237737">
        <w:rPr>
          <w:sz w:val="22"/>
          <w:szCs w:val="22"/>
        </w:rPr>
        <w:t>schiedlich ausfallen</w:t>
      </w:r>
      <w:r w:rsidR="00ED0BEC">
        <w:rPr>
          <w:sz w:val="22"/>
          <w:szCs w:val="22"/>
        </w:rPr>
        <w:t>,</w:t>
      </w:r>
      <w:r w:rsidR="00ED0BEC" w:rsidRPr="00237737">
        <w:rPr>
          <w:sz w:val="22"/>
          <w:szCs w:val="22"/>
        </w:rPr>
        <w:t xml:space="preserve"> </w:t>
      </w:r>
      <w:r w:rsidR="00B37304" w:rsidRPr="00237737">
        <w:rPr>
          <w:sz w:val="22"/>
          <w:szCs w:val="22"/>
        </w:rPr>
        <w:t xml:space="preserve">je nachdem wie viele </w:t>
      </w:r>
      <w:proofErr w:type="spellStart"/>
      <w:r w:rsidR="00B37304" w:rsidRPr="00237737">
        <w:rPr>
          <w:sz w:val="22"/>
          <w:szCs w:val="22"/>
        </w:rPr>
        <w:t>Io</w:t>
      </w:r>
      <w:proofErr w:type="spellEnd"/>
      <w:r w:rsidR="00B37304" w:rsidRPr="00237737">
        <w:rPr>
          <w:sz w:val="22"/>
          <w:szCs w:val="22"/>
        </w:rPr>
        <w:t>-Umläufe man in Betracht zieht</w:t>
      </w:r>
      <w:r w:rsidR="00827B6F" w:rsidRPr="00237737">
        <w:rPr>
          <w:sz w:val="22"/>
          <w:szCs w:val="22"/>
        </w:rPr>
        <w:t xml:space="preserve">. </w:t>
      </w:r>
      <w:r w:rsidR="00ED0BEC" w:rsidRPr="00237737">
        <w:rPr>
          <w:sz w:val="22"/>
          <w:szCs w:val="22"/>
        </w:rPr>
        <w:t>Die begrenzte Genauigkeit der Zeita</w:t>
      </w:r>
      <w:r w:rsidR="00ED0BEC" w:rsidRPr="00237737">
        <w:rPr>
          <w:sz w:val="22"/>
          <w:szCs w:val="22"/>
        </w:rPr>
        <w:t>n</w:t>
      </w:r>
      <w:r w:rsidR="00ED0BEC" w:rsidRPr="00237737">
        <w:rPr>
          <w:sz w:val="22"/>
          <w:szCs w:val="22"/>
        </w:rPr>
        <w:t>gaben</w:t>
      </w:r>
      <w:r w:rsidR="00ED0BEC">
        <w:rPr>
          <w:sz w:val="22"/>
          <w:szCs w:val="22"/>
        </w:rPr>
        <w:t xml:space="preserve"> erzeugt statistische Schwankungen, die </w:t>
      </w:r>
      <w:r w:rsidR="00265C56">
        <w:rPr>
          <w:sz w:val="22"/>
          <w:szCs w:val="22"/>
        </w:rPr>
        <w:t>eine kleine</w:t>
      </w:r>
      <w:r w:rsidR="00ED0BEC">
        <w:rPr>
          <w:sz w:val="22"/>
          <w:szCs w:val="22"/>
        </w:rPr>
        <w:t xml:space="preserve"> Fehlerrechnung </w:t>
      </w:r>
      <w:r w:rsidR="001D768C">
        <w:rPr>
          <w:sz w:val="22"/>
          <w:szCs w:val="22"/>
        </w:rPr>
        <w:t>notwendig machen</w:t>
      </w:r>
      <w:r w:rsidR="00265C56">
        <w:rPr>
          <w:sz w:val="22"/>
          <w:szCs w:val="22"/>
        </w:rPr>
        <w:t>.</w:t>
      </w:r>
    </w:p>
    <w:p w:rsidR="008F0DF3" w:rsidRPr="00237737" w:rsidRDefault="00265C56" w:rsidP="00B37304">
      <w:pPr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Angaben zur </w:t>
      </w:r>
      <w:r w:rsidR="00220ED3" w:rsidRPr="00237737">
        <w:rPr>
          <w:b/>
          <w:bCs/>
          <w:sz w:val="22"/>
          <w:szCs w:val="22"/>
        </w:rPr>
        <w:t>Fehler</w:t>
      </w:r>
      <w:r>
        <w:rPr>
          <w:b/>
          <w:bCs/>
          <w:sz w:val="22"/>
          <w:szCs w:val="22"/>
        </w:rPr>
        <w:t>rechn</w:t>
      </w:r>
      <w:r w:rsidR="00220ED3" w:rsidRPr="00237737">
        <w:rPr>
          <w:b/>
          <w:bCs/>
          <w:sz w:val="22"/>
          <w:szCs w:val="22"/>
        </w:rPr>
        <w:t>ung</w:t>
      </w:r>
      <w:r w:rsidR="00220ED3" w:rsidRPr="00237737">
        <w:rPr>
          <w:sz w:val="22"/>
          <w:szCs w:val="22"/>
        </w:rPr>
        <w:t xml:space="preserve">: </w:t>
      </w:r>
    </w:p>
    <w:p w:rsidR="00FB43F6" w:rsidRDefault="00220ED3" w:rsidP="00B37304">
      <w:pPr>
        <w:rPr>
          <w:sz w:val="22"/>
          <w:szCs w:val="22"/>
        </w:rPr>
      </w:pPr>
      <w:r w:rsidRPr="00237737">
        <w:rPr>
          <w:sz w:val="22"/>
          <w:szCs w:val="22"/>
        </w:rPr>
        <w:t xml:space="preserve">Die in den Spalten B angegebenen Zeiten sind bis auf 0,05 min genau. Der absolute Fehler von </w:t>
      </w:r>
      <w:proofErr w:type="spellStart"/>
      <w:r w:rsidR="005273E3" w:rsidRPr="00237737">
        <w:rPr>
          <w:i/>
          <w:iCs/>
          <w:sz w:val="22"/>
          <w:szCs w:val="22"/>
        </w:rPr>
        <w:t>P</w:t>
      </w:r>
      <w:r w:rsidR="005273E3" w:rsidRPr="00237737">
        <w:rPr>
          <w:i/>
          <w:sz w:val="22"/>
          <w:szCs w:val="22"/>
          <w:vertAlign w:val="subscript"/>
        </w:rPr>
        <w:t>Io</w:t>
      </w:r>
      <w:proofErr w:type="spellEnd"/>
      <w:r w:rsidRPr="00237737">
        <w:rPr>
          <w:sz w:val="22"/>
          <w:szCs w:val="22"/>
          <w:vertAlign w:val="subscript"/>
        </w:rPr>
        <w:t xml:space="preserve"> </w:t>
      </w:r>
      <w:r w:rsidR="005273E3" w:rsidRPr="00237737">
        <w:rPr>
          <w:sz w:val="22"/>
          <w:szCs w:val="22"/>
          <w:vertAlign w:val="subscript"/>
        </w:rPr>
        <w:t xml:space="preserve"> </w:t>
      </w:r>
      <w:r w:rsidRPr="00237737">
        <w:rPr>
          <w:sz w:val="22"/>
          <w:szCs w:val="22"/>
        </w:rPr>
        <w:t>beträgt 0,01 min.</w:t>
      </w:r>
      <w:r w:rsidR="003C65E6">
        <w:rPr>
          <w:sz w:val="22"/>
          <w:szCs w:val="22"/>
        </w:rPr>
        <w:t xml:space="preserve"> </w:t>
      </w:r>
      <w:r w:rsidRPr="00237737">
        <w:rPr>
          <w:sz w:val="22"/>
          <w:szCs w:val="22"/>
        </w:rPr>
        <w:t>Demgegenüber ist die Ungenauigkeit der Entfernung Δ vernachlässigbar</w:t>
      </w:r>
      <w:r w:rsidR="00856D51">
        <w:t xml:space="preserve">: </w:t>
      </w:r>
      <w:r w:rsidRPr="00856D51"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∆c(k)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c(k)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∆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∆(k)</m:t>
                </m:r>
              </m:e>
            </m:d>
          </m:num>
          <m:den>
            <m:r>
              <w:rPr>
                <w:rFonts w:ascii="Cambria Math" w:hAnsi="Cambria Math"/>
                <w:sz w:val="22"/>
                <w:szCs w:val="22"/>
              </w:rPr>
              <m:t>∆(k)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∆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(k)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(k)</m:t>
            </m:r>
          </m:den>
        </m:f>
        <m:r>
          <w:rPr>
            <w:rFonts w:ascii="Cambria Math" w:hAnsi="Cambria Math"/>
            <w:sz w:val="22"/>
            <w:szCs w:val="22"/>
          </w:rPr>
          <m:t>≈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∆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(k)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(k)</m:t>
            </m:r>
          </m:den>
        </m:f>
      </m:oMath>
      <w:r w:rsidRPr="00237737">
        <w:rPr>
          <w:sz w:val="22"/>
          <w:szCs w:val="22"/>
        </w:rPr>
        <w:t xml:space="preserve"> </w:t>
      </w:r>
      <w:r w:rsidR="00C23AED" w:rsidRPr="00237737">
        <w:rPr>
          <w:sz w:val="22"/>
          <w:szCs w:val="22"/>
        </w:rPr>
        <w:t xml:space="preserve">. </w:t>
      </w:r>
    </w:p>
    <w:p w:rsidR="008F0DF3" w:rsidRPr="00237737" w:rsidRDefault="006949D2" w:rsidP="00B37304">
      <w:pPr>
        <w:rPr>
          <w:sz w:val="22"/>
          <w:szCs w:val="22"/>
        </w:rPr>
      </w:pPr>
      <w:proofErr w:type="spellStart"/>
      <w:r w:rsidRPr="00237737">
        <w:rPr>
          <w:sz w:val="22"/>
          <w:szCs w:val="22"/>
        </w:rPr>
        <w:t>Δ</w:t>
      </w:r>
      <w:r w:rsidRPr="00237737">
        <w:rPr>
          <w:i/>
          <w:sz w:val="22"/>
          <w:szCs w:val="22"/>
        </w:rPr>
        <w:t>t</w:t>
      </w:r>
      <w:r w:rsidRPr="00237737">
        <w:rPr>
          <w:i/>
          <w:sz w:val="22"/>
          <w:szCs w:val="22"/>
          <w:vertAlign w:val="subscript"/>
        </w:rPr>
        <w:t>L</w:t>
      </w:r>
      <w:proofErr w:type="spellEnd"/>
      <w:r w:rsidRPr="00237737">
        <w:rPr>
          <w:sz w:val="22"/>
          <w:szCs w:val="22"/>
        </w:rPr>
        <w:t>(</w:t>
      </w:r>
      <w:r w:rsidRPr="00237737">
        <w:rPr>
          <w:i/>
          <w:sz w:val="22"/>
          <w:szCs w:val="22"/>
        </w:rPr>
        <w:t>k</w:t>
      </w:r>
      <w:r w:rsidRPr="00237737">
        <w:rPr>
          <w:sz w:val="22"/>
          <w:szCs w:val="22"/>
        </w:rPr>
        <w:t>), d</w:t>
      </w:r>
      <w:r w:rsidR="00220ED3" w:rsidRPr="00237737">
        <w:rPr>
          <w:sz w:val="22"/>
          <w:szCs w:val="22"/>
        </w:rPr>
        <w:t xml:space="preserve">er </w:t>
      </w:r>
      <w:r w:rsidRPr="00237737">
        <w:rPr>
          <w:sz w:val="22"/>
          <w:szCs w:val="22"/>
        </w:rPr>
        <w:t xml:space="preserve">absolute </w:t>
      </w:r>
      <w:r w:rsidR="00220ED3" w:rsidRPr="00237737">
        <w:rPr>
          <w:sz w:val="22"/>
          <w:szCs w:val="22"/>
        </w:rPr>
        <w:t xml:space="preserve">Fehler von </w:t>
      </w:r>
      <w:proofErr w:type="spellStart"/>
      <w:r w:rsidR="00220ED3" w:rsidRPr="00237737">
        <w:rPr>
          <w:i/>
          <w:iCs/>
          <w:sz w:val="22"/>
          <w:szCs w:val="22"/>
        </w:rPr>
        <w:t>t</w:t>
      </w:r>
      <w:r w:rsidR="00220ED3" w:rsidRPr="00237737">
        <w:rPr>
          <w:sz w:val="22"/>
          <w:szCs w:val="22"/>
          <w:vertAlign w:val="subscript"/>
        </w:rPr>
        <w:t>L</w:t>
      </w:r>
      <w:proofErr w:type="spellEnd"/>
      <w:r w:rsidR="00220ED3" w:rsidRPr="00237737">
        <w:rPr>
          <w:sz w:val="22"/>
          <w:szCs w:val="22"/>
        </w:rPr>
        <w:t>(</w:t>
      </w:r>
      <w:r w:rsidR="00220ED3" w:rsidRPr="00237737">
        <w:rPr>
          <w:i/>
          <w:iCs/>
          <w:sz w:val="22"/>
          <w:szCs w:val="22"/>
        </w:rPr>
        <w:t>k</w:t>
      </w:r>
      <w:r w:rsidR="00220ED3" w:rsidRPr="00237737">
        <w:rPr>
          <w:sz w:val="22"/>
          <w:szCs w:val="22"/>
        </w:rPr>
        <w:t>)</w:t>
      </w:r>
      <w:r w:rsidRPr="00237737">
        <w:rPr>
          <w:sz w:val="22"/>
          <w:szCs w:val="22"/>
        </w:rPr>
        <w:t>,</w:t>
      </w:r>
      <w:r w:rsidR="00220ED3" w:rsidRPr="00237737">
        <w:rPr>
          <w:sz w:val="22"/>
          <w:szCs w:val="22"/>
        </w:rPr>
        <w:t xml:space="preserve"> setzt sich zusammen aus dem </w:t>
      </w:r>
      <w:r w:rsidR="00220ED3" w:rsidRPr="00237737">
        <w:rPr>
          <w:i/>
          <w:iCs/>
          <w:sz w:val="22"/>
          <w:szCs w:val="22"/>
        </w:rPr>
        <w:t>k</w:t>
      </w:r>
      <w:r w:rsidR="00220ED3" w:rsidRPr="00237737">
        <w:rPr>
          <w:sz w:val="22"/>
          <w:szCs w:val="22"/>
        </w:rPr>
        <w:t xml:space="preserve">-fachen Fehler von </w:t>
      </w:r>
      <w:proofErr w:type="spellStart"/>
      <w:r w:rsidR="005273E3" w:rsidRPr="00237737">
        <w:rPr>
          <w:i/>
          <w:iCs/>
          <w:sz w:val="22"/>
          <w:szCs w:val="22"/>
        </w:rPr>
        <w:t>P</w:t>
      </w:r>
      <w:r w:rsidR="005273E3" w:rsidRPr="00237737">
        <w:rPr>
          <w:i/>
          <w:sz w:val="22"/>
          <w:szCs w:val="22"/>
          <w:vertAlign w:val="subscript"/>
        </w:rPr>
        <w:t>Io</w:t>
      </w:r>
      <w:proofErr w:type="spellEnd"/>
      <w:r w:rsidR="00856D51" w:rsidRPr="00237737">
        <w:rPr>
          <w:sz w:val="22"/>
          <w:szCs w:val="22"/>
        </w:rPr>
        <w:t xml:space="preserve"> </w:t>
      </w:r>
      <w:r w:rsidR="00220ED3" w:rsidRPr="00237737">
        <w:rPr>
          <w:sz w:val="22"/>
          <w:szCs w:val="22"/>
        </w:rPr>
        <w:t>und dem Fehler des Zeitu</w:t>
      </w:r>
      <w:r w:rsidR="00220ED3" w:rsidRPr="00237737">
        <w:rPr>
          <w:sz w:val="22"/>
          <w:szCs w:val="22"/>
        </w:rPr>
        <w:t>n</w:t>
      </w:r>
      <w:r w:rsidR="00220ED3" w:rsidRPr="00237737">
        <w:rPr>
          <w:sz w:val="22"/>
          <w:szCs w:val="22"/>
        </w:rPr>
        <w:t>te</w:t>
      </w:r>
      <w:r w:rsidR="00220ED3" w:rsidRPr="00237737">
        <w:rPr>
          <w:sz w:val="22"/>
          <w:szCs w:val="22"/>
        </w:rPr>
        <w:t>r</w:t>
      </w:r>
      <w:r w:rsidR="00220ED3" w:rsidRPr="00237737">
        <w:rPr>
          <w:sz w:val="22"/>
          <w:szCs w:val="22"/>
        </w:rPr>
        <w:t xml:space="preserve">schieds, der jeweils in Spalte </w:t>
      </w:r>
      <w:r w:rsidR="005273E3" w:rsidRPr="00237737">
        <w:rPr>
          <w:sz w:val="22"/>
          <w:szCs w:val="22"/>
        </w:rPr>
        <w:t>D</w:t>
      </w:r>
      <w:r w:rsidR="00220ED3" w:rsidRPr="00237737">
        <w:rPr>
          <w:sz w:val="22"/>
          <w:szCs w:val="22"/>
        </w:rPr>
        <w:t xml:space="preserve"> entsteht. Mit diesen Vorgaben können Sie</w:t>
      </w:r>
      <w:r w:rsidR="00676F79" w:rsidRPr="00237737">
        <w:rPr>
          <w:sz w:val="22"/>
          <w:szCs w:val="22"/>
        </w:rPr>
        <w:t xml:space="preserve"> die</w:t>
      </w:r>
      <w:r w:rsidR="00220ED3" w:rsidRPr="00237737">
        <w:rPr>
          <w:sz w:val="22"/>
          <w:szCs w:val="22"/>
        </w:rPr>
        <w:t xml:space="preserve"> Spalte </w:t>
      </w:r>
      <w:r w:rsidR="00676F79" w:rsidRPr="00237737">
        <w:rPr>
          <w:sz w:val="22"/>
          <w:szCs w:val="22"/>
        </w:rPr>
        <w:t>J</w:t>
      </w:r>
      <w:r w:rsidR="00220ED3" w:rsidRPr="00237737">
        <w:rPr>
          <w:sz w:val="22"/>
          <w:szCs w:val="22"/>
        </w:rPr>
        <w:t xml:space="preserve"> ausfüllen. </w:t>
      </w:r>
    </w:p>
    <w:p w:rsidR="00265C56" w:rsidRDefault="00B37304" w:rsidP="00B37304">
      <w:pPr>
        <w:spacing w:before="120"/>
        <w:rPr>
          <w:b/>
          <w:sz w:val="22"/>
          <w:szCs w:val="22"/>
        </w:rPr>
      </w:pPr>
      <w:r w:rsidRPr="00237737">
        <w:rPr>
          <w:b/>
          <w:sz w:val="22"/>
          <w:szCs w:val="22"/>
        </w:rPr>
        <w:t>F</w:t>
      </w:r>
      <w:r w:rsidR="00220ED3" w:rsidRPr="00237737">
        <w:rPr>
          <w:b/>
          <w:sz w:val="22"/>
          <w:szCs w:val="22"/>
        </w:rPr>
        <w:t>ragen:</w:t>
      </w:r>
    </w:p>
    <w:p w:rsidR="00265C56" w:rsidRPr="00265C56" w:rsidRDefault="00265C56" w:rsidP="00265C56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65C56">
        <w:rPr>
          <w:sz w:val="22"/>
          <w:szCs w:val="22"/>
        </w:rPr>
        <w:t xml:space="preserve">Warum sind die Fehler </w:t>
      </w:r>
      <w:proofErr w:type="spellStart"/>
      <w:r w:rsidRPr="00265C56">
        <w:rPr>
          <w:sz w:val="22"/>
          <w:szCs w:val="22"/>
        </w:rPr>
        <w:t>Δ</w:t>
      </w:r>
      <w:r w:rsidRPr="00265C56">
        <w:rPr>
          <w:i/>
          <w:iCs/>
          <w:sz w:val="22"/>
          <w:szCs w:val="22"/>
        </w:rPr>
        <w:t>c</w:t>
      </w:r>
      <w:proofErr w:type="spellEnd"/>
      <w:r w:rsidRPr="00265C56">
        <w:rPr>
          <w:i/>
          <w:iCs/>
          <w:sz w:val="22"/>
          <w:szCs w:val="22"/>
        </w:rPr>
        <w:t xml:space="preserve"> </w:t>
      </w:r>
      <w:r w:rsidRPr="00265C56">
        <w:rPr>
          <w:sz w:val="22"/>
          <w:szCs w:val="22"/>
        </w:rPr>
        <w:t xml:space="preserve">bei kleinem </w:t>
      </w:r>
      <w:r w:rsidRPr="00265C56">
        <w:rPr>
          <w:i/>
          <w:iCs/>
          <w:sz w:val="22"/>
          <w:szCs w:val="22"/>
        </w:rPr>
        <w:t>k</w:t>
      </w:r>
      <w:r w:rsidRPr="00265C56">
        <w:rPr>
          <w:sz w:val="22"/>
          <w:szCs w:val="22"/>
        </w:rPr>
        <w:t xml:space="preserve"> so </w:t>
      </w:r>
      <w:proofErr w:type="gramStart"/>
      <w:r w:rsidRPr="00265C56">
        <w:rPr>
          <w:sz w:val="22"/>
          <w:szCs w:val="22"/>
        </w:rPr>
        <w:t>groß ?</w:t>
      </w:r>
      <w:proofErr w:type="gramEnd"/>
    </w:p>
    <w:p w:rsidR="006949D2" w:rsidRPr="00265C56" w:rsidRDefault="00220ED3" w:rsidP="00265C56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65C56">
        <w:rPr>
          <w:sz w:val="22"/>
          <w:szCs w:val="22"/>
        </w:rPr>
        <w:t>Warum lassen sich nach der Opposition keine Verfinsterungs-</w:t>
      </w:r>
      <w:r w:rsidRPr="00265C56">
        <w:rPr>
          <w:sz w:val="22"/>
          <w:szCs w:val="22"/>
          <w:u w:val="single"/>
        </w:rPr>
        <w:t>Anfänge</w:t>
      </w:r>
      <w:r w:rsidRPr="00265C56">
        <w:rPr>
          <w:sz w:val="22"/>
          <w:szCs w:val="22"/>
        </w:rPr>
        <w:t xml:space="preserve"> </w:t>
      </w:r>
      <w:proofErr w:type="gramStart"/>
      <w:r w:rsidRPr="00265C56">
        <w:rPr>
          <w:sz w:val="22"/>
          <w:szCs w:val="22"/>
        </w:rPr>
        <w:t>beobachten ?</w:t>
      </w:r>
      <w:proofErr w:type="gramEnd"/>
      <w:r w:rsidRPr="00265C56">
        <w:rPr>
          <w:sz w:val="22"/>
          <w:szCs w:val="22"/>
        </w:rPr>
        <w:t xml:space="preserve">  Wie ist die Situation vor der </w:t>
      </w:r>
      <w:proofErr w:type="gramStart"/>
      <w:r w:rsidRPr="00265C56">
        <w:rPr>
          <w:sz w:val="22"/>
          <w:szCs w:val="22"/>
        </w:rPr>
        <w:t>Opposition ?</w:t>
      </w:r>
      <w:proofErr w:type="gramEnd"/>
    </w:p>
    <w:sectPr w:rsidR="006949D2" w:rsidRPr="00265C56" w:rsidSect="0023773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D6" w:rsidRDefault="008E6FD6" w:rsidP="005161E8">
      <w:r>
        <w:separator/>
      </w:r>
    </w:p>
  </w:endnote>
  <w:endnote w:type="continuationSeparator" w:id="0">
    <w:p w:rsidR="008E6FD6" w:rsidRDefault="008E6FD6" w:rsidP="0051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069650"/>
      <w:docPartObj>
        <w:docPartGallery w:val="Page Numbers (Bottom of Page)"/>
        <w:docPartUnique/>
      </w:docPartObj>
    </w:sdtPr>
    <w:sdtEndPr/>
    <w:sdtContent>
      <w:p w:rsidR="005161E8" w:rsidRDefault="005161E8">
        <w:pPr>
          <w:pStyle w:val="Fuzeile"/>
          <w:jc w:val="right"/>
        </w:pPr>
      </w:p>
      <w:p w:rsidR="005161E8" w:rsidRDefault="005161E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3F6">
          <w:rPr>
            <w:noProof/>
          </w:rPr>
          <w:t>1</w:t>
        </w:r>
        <w:r>
          <w:fldChar w:fldCharType="end"/>
        </w:r>
      </w:p>
    </w:sdtContent>
  </w:sdt>
  <w:p w:rsidR="005161E8" w:rsidRDefault="005161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D6" w:rsidRDefault="008E6FD6" w:rsidP="005161E8">
      <w:r>
        <w:separator/>
      </w:r>
    </w:p>
  </w:footnote>
  <w:footnote w:type="continuationSeparator" w:id="0">
    <w:p w:rsidR="008E6FD6" w:rsidRDefault="008E6FD6" w:rsidP="0051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2722"/>
    <w:multiLevelType w:val="hybridMultilevel"/>
    <w:tmpl w:val="ACAAA55E"/>
    <w:lvl w:ilvl="0" w:tplc="3F0A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D3"/>
    <w:rsid w:val="00106DDF"/>
    <w:rsid w:val="00143E85"/>
    <w:rsid w:val="001D768C"/>
    <w:rsid w:val="00220ED3"/>
    <w:rsid w:val="00237737"/>
    <w:rsid w:val="00265C56"/>
    <w:rsid w:val="00335DD7"/>
    <w:rsid w:val="003C65E6"/>
    <w:rsid w:val="00452904"/>
    <w:rsid w:val="00481913"/>
    <w:rsid w:val="00501525"/>
    <w:rsid w:val="005161E8"/>
    <w:rsid w:val="005273E3"/>
    <w:rsid w:val="00676F79"/>
    <w:rsid w:val="006949D2"/>
    <w:rsid w:val="006A28AD"/>
    <w:rsid w:val="00726987"/>
    <w:rsid w:val="00797974"/>
    <w:rsid w:val="00827B6F"/>
    <w:rsid w:val="00856D51"/>
    <w:rsid w:val="008A1D93"/>
    <w:rsid w:val="008B484D"/>
    <w:rsid w:val="008E6FD6"/>
    <w:rsid w:val="008F0DF3"/>
    <w:rsid w:val="00975F18"/>
    <w:rsid w:val="009D0AB3"/>
    <w:rsid w:val="00A76470"/>
    <w:rsid w:val="00B37304"/>
    <w:rsid w:val="00B62768"/>
    <w:rsid w:val="00BF6584"/>
    <w:rsid w:val="00C23AED"/>
    <w:rsid w:val="00E50448"/>
    <w:rsid w:val="00E754FC"/>
    <w:rsid w:val="00EC51A4"/>
    <w:rsid w:val="00ED0BEC"/>
    <w:rsid w:val="00FB43F6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DF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F0DF3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A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AB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D0AB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16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1E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16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1E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6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DF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F0DF3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A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AB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D0AB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16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1E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16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1E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6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-Arbeitsblat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E648-89D3-45DE-9B68-D9279CF1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Lichtgeschwindigkeit nach Ole Rømer</vt:lpstr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Lichtgeschwindigkeit nach Ole Rømer</dc:title>
  <dc:subject/>
  <dc:creator>Schultz</dc:creator>
  <cp:keywords/>
  <dc:description/>
  <cp:lastModifiedBy>User</cp:lastModifiedBy>
  <cp:revision>18</cp:revision>
  <cp:lastPrinted>2011-08-02T09:57:00Z</cp:lastPrinted>
  <dcterms:created xsi:type="dcterms:W3CDTF">2009-11-03T16:30:00Z</dcterms:created>
  <dcterms:modified xsi:type="dcterms:W3CDTF">2011-12-22T21:34:00Z</dcterms:modified>
</cp:coreProperties>
</file>